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2C804" w14:textId="7585A576" w:rsidR="00485822" w:rsidRPr="00485822" w:rsidRDefault="00485822" w:rsidP="00485822">
      <w:pPr>
        <w:spacing w:before="120" w:line="288" w:lineRule="auto"/>
        <w:rPr>
          <w:rFonts w:ascii="Arial" w:eastAsia="Times New Roman" w:hAnsi="Arial" w:cs="Arial"/>
          <w:b/>
          <w:bCs/>
          <w:kern w:val="0"/>
          <w:sz w:val="32"/>
          <w:szCs w:val="32"/>
          <w:lang w:eastAsia="en-GB"/>
          <w14:ligatures w14:val="none"/>
        </w:rPr>
      </w:pPr>
      <w:r w:rsidRPr="00485822">
        <w:rPr>
          <w:rFonts w:ascii="Arial" w:eastAsia="Times New Roman" w:hAnsi="Arial" w:cs="Arial"/>
          <w:b/>
          <w:bCs/>
          <w:kern w:val="0"/>
          <w:sz w:val="32"/>
          <w:szCs w:val="32"/>
          <w:lang w:eastAsia="en-GB"/>
          <w14:ligatures w14:val="none"/>
        </w:rPr>
        <w:t>Additional Charges 2025/2026</w:t>
      </w:r>
    </w:p>
    <w:p w14:paraId="1DB005A4" w14:textId="77777777" w:rsidR="00485822" w:rsidRDefault="00485822" w:rsidP="00485822">
      <w:pPr>
        <w:keepNext/>
        <w:spacing w:before="240" w:after="240" w:line="240" w:lineRule="auto"/>
        <w:outlineLvl w:val="1"/>
        <w:rPr>
          <w:rFonts w:ascii="Arial" w:eastAsia="Times New Roman" w:hAnsi="Arial" w:cs="Arial"/>
          <w:b/>
          <w:color w:val="104F75"/>
          <w:kern w:val="0"/>
          <w:sz w:val="32"/>
          <w:szCs w:val="32"/>
          <w:lang w:eastAsia="en-GB"/>
          <w14:ligatures w14:val="none"/>
        </w:rPr>
      </w:pPr>
      <w:r>
        <w:rPr>
          <w:rFonts w:ascii="Arial" w:eastAsia="Times New Roman" w:hAnsi="Arial" w:cs="Arial"/>
          <w:b/>
          <w:color w:val="104F75"/>
          <w:kern w:val="0"/>
          <w:sz w:val="32"/>
          <w:szCs w:val="32"/>
          <w:lang w:eastAsia="en-GB"/>
          <w14:ligatures w14:val="none"/>
        </w:rPr>
        <w:t>Provider to complete:</w:t>
      </w:r>
    </w:p>
    <w:p w14:paraId="04D5234C" w14:textId="77777777" w:rsidR="00485822" w:rsidRDefault="00485822" w:rsidP="00485822">
      <w:pPr>
        <w:spacing w:before="120" w:line="288" w:lineRule="auto"/>
        <w:rPr>
          <w:rFonts w:ascii="Arial" w:eastAsia="Times New Roman" w:hAnsi="Arial" w:cs="Arial"/>
          <w:kern w:val="0"/>
          <w:szCs w:val="24"/>
          <w:lang w:eastAsia="en-GB"/>
          <w14:ligatures w14:val="none"/>
        </w:rPr>
      </w:pPr>
      <w:r>
        <w:rPr>
          <w:rFonts w:ascii="Arial" w:eastAsia="Times New Roman" w:hAnsi="Arial" w:cs="Arial"/>
          <w:kern w:val="0"/>
          <w:szCs w:val="24"/>
          <w:lang w:eastAsia="en-GB"/>
          <w14:ligatures w14:val="none"/>
        </w:rPr>
        <w:t xml:space="preserve">Additional charges: Government funding is intended to deliver 15 or 30 hours a week of free, high quality, flexible early education and care. The 15 or 30 hours must be able to be accessed free of charge to parents; that is, there must not be any mandatory charges for parents in relation to the free hours. </w:t>
      </w:r>
    </w:p>
    <w:p w14:paraId="7FB7CF5B" w14:textId="77777777" w:rsidR="00485822" w:rsidRDefault="00485822" w:rsidP="00485822">
      <w:pPr>
        <w:spacing w:before="120" w:line="288" w:lineRule="auto"/>
        <w:rPr>
          <w:rFonts w:ascii="Arial" w:eastAsia="Times New Roman" w:hAnsi="Arial" w:cs="Arial"/>
          <w:kern w:val="0"/>
          <w:szCs w:val="24"/>
          <w:lang w:eastAsia="en-GB"/>
          <w14:ligatures w14:val="none"/>
        </w:rPr>
      </w:pPr>
      <w:r>
        <w:rPr>
          <w:rFonts w:ascii="Arial" w:eastAsia="Times New Roman" w:hAnsi="Arial" w:cs="Arial"/>
          <w:kern w:val="0"/>
          <w:szCs w:val="24"/>
          <w:lang w:eastAsia="en-GB"/>
          <w14:ligatures w14:val="none"/>
        </w:rPr>
        <w:t xml:space="preserve">Government funding is not intended to cover the costs of meals, other consumables, additional hours or additional services. Providers can charge for consumables, meals and snacks, extra activities and additional hours provided they are not mandatory charges or a condition of accessing a place. </w:t>
      </w:r>
    </w:p>
    <w:p w14:paraId="499AD177" w14:textId="77777777" w:rsidR="00485822" w:rsidRDefault="00485822" w:rsidP="00485822">
      <w:pPr>
        <w:spacing w:before="120" w:line="288" w:lineRule="auto"/>
        <w:rPr>
          <w:rFonts w:ascii="Arial" w:eastAsia="Times New Roman" w:hAnsi="Arial" w:cs="Arial"/>
          <w:kern w:val="0"/>
          <w:szCs w:val="24"/>
          <w:lang w:eastAsia="en-GB"/>
          <w14:ligatures w14:val="none"/>
        </w:rPr>
      </w:pPr>
      <w:r>
        <w:rPr>
          <w:rFonts w:ascii="Arial" w:eastAsia="Times New Roman" w:hAnsi="Arial" w:cs="Arial"/>
          <w:kern w:val="0"/>
          <w:szCs w:val="24"/>
          <w:lang w:eastAsia="en-GB"/>
          <w14:ligatures w14:val="none"/>
        </w:rPr>
        <w:t>The costs of chargeable extras should be published on provider websites or, where they do not have any website, on local authority Family Information Services. These should be clear, up-to-date and easily accessible to parents, to enable parents to make an informed choice of provider.</w:t>
      </w:r>
    </w:p>
    <w:tbl>
      <w:tblPr>
        <w:tblStyle w:val="TableGrid"/>
        <w:tblW w:w="10490" w:type="dxa"/>
        <w:tblInd w:w="-289" w:type="dxa"/>
        <w:tblLook w:val="04A0" w:firstRow="1" w:lastRow="0" w:firstColumn="1" w:lastColumn="0" w:noHBand="0" w:noVBand="1"/>
        <w:tblCaption w:val="Table"/>
        <w:tblDescription w:val="Table used for filling in responses"/>
      </w:tblPr>
      <w:tblGrid>
        <w:gridCol w:w="2694"/>
        <w:gridCol w:w="1134"/>
        <w:gridCol w:w="1134"/>
        <w:gridCol w:w="1134"/>
        <w:gridCol w:w="1134"/>
        <w:gridCol w:w="1134"/>
        <w:gridCol w:w="2126"/>
      </w:tblGrid>
      <w:tr w:rsidR="00485822" w14:paraId="2B55466D" w14:textId="77777777" w:rsidTr="00485822">
        <w:trPr>
          <w:trHeight w:val="402"/>
        </w:trPr>
        <w:tc>
          <w:tcPr>
            <w:tcW w:w="2694" w:type="dxa"/>
            <w:tcBorders>
              <w:top w:val="single" w:sz="4" w:space="0" w:color="auto"/>
              <w:left w:val="single" w:sz="4" w:space="0" w:color="auto"/>
              <w:bottom w:val="single" w:sz="4" w:space="0" w:color="auto"/>
              <w:right w:val="single" w:sz="4" w:space="0" w:color="auto"/>
            </w:tcBorders>
            <w:shd w:val="clear" w:color="auto" w:fill="CFDCE3"/>
          </w:tcPr>
          <w:p w14:paraId="5362A25D" w14:textId="77777777" w:rsidR="00485822" w:rsidRDefault="00485822">
            <w:pPr>
              <w:spacing w:line="240" w:lineRule="auto"/>
              <w:rPr>
                <w:rFonts w:ascii="Arial" w:eastAsia="Times New Roman" w:hAnsi="Arial" w:cs="Arial"/>
                <w:b/>
                <w:szCs w:val="24"/>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CFDCE3"/>
            <w:hideMark/>
          </w:tcPr>
          <w:p w14:paraId="09FBA55A" w14:textId="77777777" w:rsidR="00485822" w:rsidRDefault="00485822">
            <w:pPr>
              <w:spacing w:line="240" w:lineRule="auto"/>
              <w:rPr>
                <w:rFonts w:cs="Arial"/>
                <w:b/>
                <w:szCs w:val="24"/>
                <w:lang w:eastAsia="en-GB"/>
              </w:rPr>
            </w:pPr>
            <w:r>
              <w:rPr>
                <w:rFonts w:cs="Arial"/>
                <w:b/>
                <w:szCs w:val="24"/>
                <w:lang w:eastAsia="en-GB"/>
              </w:rPr>
              <w:t>Mon</w:t>
            </w:r>
          </w:p>
        </w:tc>
        <w:tc>
          <w:tcPr>
            <w:tcW w:w="1134" w:type="dxa"/>
            <w:tcBorders>
              <w:top w:val="single" w:sz="4" w:space="0" w:color="auto"/>
              <w:left w:val="single" w:sz="4" w:space="0" w:color="auto"/>
              <w:bottom w:val="single" w:sz="4" w:space="0" w:color="auto"/>
              <w:right w:val="single" w:sz="4" w:space="0" w:color="auto"/>
            </w:tcBorders>
            <w:shd w:val="clear" w:color="auto" w:fill="CFDCE3"/>
            <w:hideMark/>
          </w:tcPr>
          <w:p w14:paraId="16031FD3" w14:textId="77777777" w:rsidR="00485822" w:rsidRDefault="00485822">
            <w:pPr>
              <w:spacing w:line="240" w:lineRule="auto"/>
              <w:rPr>
                <w:rFonts w:cs="Arial"/>
                <w:b/>
                <w:szCs w:val="24"/>
                <w:lang w:eastAsia="en-GB"/>
              </w:rPr>
            </w:pPr>
            <w:r>
              <w:rPr>
                <w:rFonts w:cs="Arial"/>
                <w:b/>
                <w:szCs w:val="24"/>
                <w:lang w:eastAsia="en-GB"/>
              </w:rPr>
              <w:t>Tues</w:t>
            </w:r>
          </w:p>
        </w:tc>
        <w:tc>
          <w:tcPr>
            <w:tcW w:w="1134" w:type="dxa"/>
            <w:tcBorders>
              <w:top w:val="single" w:sz="4" w:space="0" w:color="auto"/>
              <w:left w:val="single" w:sz="4" w:space="0" w:color="auto"/>
              <w:bottom w:val="single" w:sz="4" w:space="0" w:color="auto"/>
              <w:right w:val="single" w:sz="4" w:space="0" w:color="auto"/>
            </w:tcBorders>
            <w:shd w:val="clear" w:color="auto" w:fill="CFDCE3"/>
            <w:hideMark/>
          </w:tcPr>
          <w:p w14:paraId="10E8A8FD" w14:textId="77777777" w:rsidR="00485822" w:rsidRDefault="00485822">
            <w:pPr>
              <w:spacing w:line="240" w:lineRule="auto"/>
              <w:rPr>
                <w:rFonts w:cs="Arial"/>
                <w:b/>
                <w:szCs w:val="24"/>
                <w:lang w:eastAsia="en-GB"/>
              </w:rPr>
            </w:pPr>
            <w:r>
              <w:rPr>
                <w:rFonts w:cs="Arial"/>
                <w:b/>
                <w:szCs w:val="24"/>
                <w:lang w:eastAsia="en-GB"/>
              </w:rPr>
              <w:t>Wed</w:t>
            </w:r>
          </w:p>
        </w:tc>
        <w:tc>
          <w:tcPr>
            <w:tcW w:w="1134" w:type="dxa"/>
            <w:tcBorders>
              <w:top w:val="single" w:sz="4" w:space="0" w:color="auto"/>
              <w:left w:val="single" w:sz="4" w:space="0" w:color="auto"/>
              <w:bottom w:val="single" w:sz="4" w:space="0" w:color="auto"/>
              <w:right w:val="single" w:sz="4" w:space="0" w:color="auto"/>
            </w:tcBorders>
            <w:shd w:val="clear" w:color="auto" w:fill="CFDCE3"/>
            <w:hideMark/>
          </w:tcPr>
          <w:p w14:paraId="48A7A263" w14:textId="77777777" w:rsidR="00485822" w:rsidRDefault="00485822">
            <w:pPr>
              <w:spacing w:line="240" w:lineRule="auto"/>
              <w:rPr>
                <w:rFonts w:cs="Arial"/>
                <w:b/>
                <w:szCs w:val="24"/>
                <w:lang w:eastAsia="en-GB"/>
              </w:rPr>
            </w:pPr>
            <w:r>
              <w:rPr>
                <w:rFonts w:cs="Arial"/>
                <w:b/>
                <w:szCs w:val="24"/>
                <w:lang w:eastAsia="en-GB"/>
              </w:rPr>
              <w:t>Thurs</w:t>
            </w:r>
          </w:p>
        </w:tc>
        <w:tc>
          <w:tcPr>
            <w:tcW w:w="1134" w:type="dxa"/>
            <w:tcBorders>
              <w:top w:val="single" w:sz="4" w:space="0" w:color="auto"/>
              <w:left w:val="single" w:sz="4" w:space="0" w:color="auto"/>
              <w:bottom w:val="single" w:sz="4" w:space="0" w:color="auto"/>
              <w:right w:val="single" w:sz="4" w:space="0" w:color="auto"/>
            </w:tcBorders>
            <w:shd w:val="clear" w:color="auto" w:fill="CFDCE3"/>
            <w:hideMark/>
          </w:tcPr>
          <w:p w14:paraId="620D9DCF" w14:textId="77777777" w:rsidR="00485822" w:rsidRDefault="00485822">
            <w:pPr>
              <w:spacing w:line="240" w:lineRule="auto"/>
              <w:rPr>
                <w:rFonts w:cs="Arial"/>
                <w:b/>
                <w:szCs w:val="24"/>
                <w:lang w:eastAsia="en-GB"/>
              </w:rPr>
            </w:pPr>
            <w:r>
              <w:rPr>
                <w:rFonts w:cs="Arial"/>
                <w:b/>
                <w:szCs w:val="24"/>
                <w:lang w:eastAsia="en-GB"/>
              </w:rPr>
              <w:t>Fri</w:t>
            </w:r>
          </w:p>
        </w:tc>
        <w:tc>
          <w:tcPr>
            <w:tcW w:w="2126" w:type="dxa"/>
            <w:tcBorders>
              <w:top w:val="single" w:sz="4" w:space="0" w:color="auto"/>
              <w:left w:val="single" w:sz="4" w:space="0" w:color="auto"/>
              <w:bottom w:val="single" w:sz="4" w:space="0" w:color="auto"/>
              <w:right w:val="single" w:sz="4" w:space="0" w:color="auto"/>
            </w:tcBorders>
            <w:shd w:val="clear" w:color="auto" w:fill="CFDCE3"/>
            <w:hideMark/>
          </w:tcPr>
          <w:p w14:paraId="3F6BF2FA" w14:textId="77777777" w:rsidR="00485822" w:rsidRDefault="00485822">
            <w:pPr>
              <w:spacing w:line="240" w:lineRule="auto"/>
              <w:rPr>
                <w:rFonts w:cs="Arial"/>
                <w:b/>
                <w:szCs w:val="24"/>
                <w:lang w:eastAsia="en-GB"/>
              </w:rPr>
            </w:pPr>
            <w:r>
              <w:rPr>
                <w:rFonts w:cs="Arial"/>
                <w:b/>
                <w:szCs w:val="24"/>
                <w:lang w:eastAsia="en-GB"/>
              </w:rPr>
              <w:t>Total weekly charge</w:t>
            </w:r>
          </w:p>
        </w:tc>
      </w:tr>
      <w:tr w:rsidR="00485822" w14:paraId="683F9529" w14:textId="77777777" w:rsidTr="00485822">
        <w:trPr>
          <w:trHeight w:val="1435"/>
        </w:trPr>
        <w:tc>
          <w:tcPr>
            <w:tcW w:w="2694" w:type="dxa"/>
            <w:tcBorders>
              <w:top w:val="single" w:sz="4" w:space="0" w:color="auto"/>
              <w:left w:val="single" w:sz="4" w:space="0" w:color="auto"/>
              <w:bottom w:val="single" w:sz="4" w:space="0" w:color="auto"/>
              <w:right w:val="single" w:sz="4" w:space="0" w:color="auto"/>
            </w:tcBorders>
            <w:shd w:val="clear" w:color="auto" w:fill="CFDCE3"/>
            <w:hideMark/>
          </w:tcPr>
          <w:p w14:paraId="017B82C4" w14:textId="77777777" w:rsidR="00485822" w:rsidRDefault="00485822">
            <w:pPr>
              <w:spacing w:line="240" w:lineRule="auto"/>
              <w:rPr>
                <w:rFonts w:cs="Arial"/>
                <w:b/>
                <w:szCs w:val="24"/>
                <w:lang w:eastAsia="en-GB"/>
              </w:rPr>
            </w:pPr>
            <w:r>
              <w:rPr>
                <w:rFonts w:cs="Arial"/>
                <w:b/>
                <w:szCs w:val="24"/>
                <w:lang w:eastAsia="en-GB"/>
              </w:rPr>
              <w:t>Additional charges for consumables or additional charges per day</w:t>
            </w:r>
          </w:p>
        </w:tc>
        <w:tc>
          <w:tcPr>
            <w:tcW w:w="1134" w:type="dxa"/>
            <w:tcBorders>
              <w:top w:val="single" w:sz="4" w:space="0" w:color="auto"/>
              <w:left w:val="single" w:sz="4" w:space="0" w:color="auto"/>
              <w:bottom w:val="single" w:sz="4" w:space="0" w:color="auto"/>
              <w:right w:val="single" w:sz="4" w:space="0" w:color="auto"/>
            </w:tcBorders>
          </w:tcPr>
          <w:p w14:paraId="7A545165" w14:textId="77777777" w:rsidR="00485822" w:rsidRDefault="00485822">
            <w:pPr>
              <w:spacing w:line="240" w:lineRule="auto"/>
              <w:rPr>
                <w:rFonts w:cs="Arial"/>
                <w:b/>
                <w:szCs w:val="24"/>
                <w:lang w:eastAsia="en-GB"/>
              </w:rPr>
            </w:pPr>
          </w:p>
        </w:tc>
        <w:tc>
          <w:tcPr>
            <w:tcW w:w="1134" w:type="dxa"/>
            <w:tcBorders>
              <w:top w:val="single" w:sz="4" w:space="0" w:color="auto"/>
              <w:left w:val="single" w:sz="4" w:space="0" w:color="auto"/>
              <w:bottom w:val="single" w:sz="4" w:space="0" w:color="auto"/>
              <w:right w:val="single" w:sz="4" w:space="0" w:color="auto"/>
            </w:tcBorders>
          </w:tcPr>
          <w:p w14:paraId="0FC398BD" w14:textId="77777777" w:rsidR="00485822" w:rsidRDefault="00485822">
            <w:pPr>
              <w:spacing w:line="240" w:lineRule="auto"/>
              <w:rPr>
                <w:rFonts w:cs="Arial"/>
                <w:b/>
                <w:szCs w:val="24"/>
                <w:lang w:eastAsia="en-GB"/>
              </w:rPr>
            </w:pPr>
          </w:p>
        </w:tc>
        <w:tc>
          <w:tcPr>
            <w:tcW w:w="1134" w:type="dxa"/>
            <w:tcBorders>
              <w:top w:val="single" w:sz="4" w:space="0" w:color="auto"/>
              <w:left w:val="single" w:sz="4" w:space="0" w:color="auto"/>
              <w:bottom w:val="single" w:sz="4" w:space="0" w:color="auto"/>
              <w:right w:val="single" w:sz="4" w:space="0" w:color="auto"/>
            </w:tcBorders>
          </w:tcPr>
          <w:p w14:paraId="5DC75237" w14:textId="77777777" w:rsidR="00485822" w:rsidRDefault="00485822">
            <w:pPr>
              <w:spacing w:line="240" w:lineRule="auto"/>
              <w:rPr>
                <w:rFonts w:cs="Arial"/>
                <w:b/>
                <w:szCs w:val="24"/>
                <w:lang w:eastAsia="en-GB"/>
              </w:rPr>
            </w:pPr>
          </w:p>
        </w:tc>
        <w:tc>
          <w:tcPr>
            <w:tcW w:w="1134" w:type="dxa"/>
            <w:tcBorders>
              <w:top w:val="single" w:sz="4" w:space="0" w:color="auto"/>
              <w:left w:val="single" w:sz="4" w:space="0" w:color="auto"/>
              <w:bottom w:val="single" w:sz="4" w:space="0" w:color="auto"/>
              <w:right w:val="single" w:sz="4" w:space="0" w:color="auto"/>
            </w:tcBorders>
          </w:tcPr>
          <w:p w14:paraId="42A9F3BA" w14:textId="77777777" w:rsidR="00485822" w:rsidRDefault="00485822">
            <w:pPr>
              <w:spacing w:line="240" w:lineRule="auto"/>
              <w:rPr>
                <w:rFonts w:cs="Arial"/>
                <w:b/>
                <w:szCs w:val="24"/>
                <w:lang w:eastAsia="en-GB"/>
              </w:rPr>
            </w:pPr>
          </w:p>
        </w:tc>
        <w:tc>
          <w:tcPr>
            <w:tcW w:w="1134" w:type="dxa"/>
            <w:tcBorders>
              <w:top w:val="single" w:sz="4" w:space="0" w:color="auto"/>
              <w:left w:val="single" w:sz="4" w:space="0" w:color="auto"/>
              <w:bottom w:val="single" w:sz="4" w:space="0" w:color="auto"/>
              <w:right w:val="single" w:sz="4" w:space="0" w:color="auto"/>
            </w:tcBorders>
          </w:tcPr>
          <w:p w14:paraId="0CF8080E" w14:textId="77777777" w:rsidR="00485822" w:rsidRDefault="00485822">
            <w:pPr>
              <w:spacing w:line="240" w:lineRule="auto"/>
              <w:rPr>
                <w:rFonts w:cs="Arial"/>
                <w:b/>
                <w:szCs w:val="24"/>
                <w:lang w:eastAsia="en-GB"/>
              </w:rPr>
            </w:pPr>
          </w:p>
        </w:tc>
        <w:tc>
          <w:tcPr>
            <w:tcW w:w="2126" w:type="dxa"/>
            <w:tcBorders>
              <w:top w:val="single" w:sz="4" w:space="0" w:color="auto"/>
              <w:left w:val="single" w:sz="4" w:space="0" w:color="auto"/>
              <w:bottom w:val="single" w:sz="4" w:space="0" w:color="auto"/>
              <w:right w:val="single" w:sz="4" w:space="0" w:color="auto"/>
            </w:tcBorders>
          </w:tcPr>
          <w:p w14:paraId="2259C0A1" w14:textId="77777777" w:rsidR="00485822" w:rsidRDefault="00485822">
            <w:pPr>
              <w:spacing w:line="240" w:lineRule="auto"/>
              <w:rPr>
                <w:rFonts w:cs="Arial"/>
                <w:b/>
                <w:szCs w:val="24"/>
                <w:lang w:eastAsia="en-GB"/>
              </w:rPr>
            </w:pPr>
          </w:p>
        </w:tc>
      </w:tr>
    </w:tbl>
    <w:p w14:paraId="6A4A3A55" w14:textId="77777777" w:rsidR="00485822" w:rsidRDefault="00485822" w:rsidP="00485822">
      <w:pPr>
        <w:spacing w:before="120" w:line="288" w:lineRule="auto"/>
        <w:rPr>
          <w:rFonts w:ascii="Arial" w:eastAsia="Times New Roman" w:hAnsi="Arial" w:cs="Arial"/>
          <w:kern w:val="0"/>
          <w:szCs w:val="24"/>
          <w:lang w:eastAsia="en-GB"/>
          <w14:ligatures w14:val="none"/>
        </w:rPr>
      </w:pPr>
      <w:r>
        <w:rPr>
          <w:rFonts w:ascii="Arial" w:eastAsia="Times New Roman" w:hAnsi="Arial" w:cs="Arial"/>
          <w:kern w:val="0"/>
          <w:szCs w:val="24"/>
          <w:lang w:eastAsia="en-GB"/>
          <w14:ligatures w14:val="none"/>
        </w:rPr>
        <w:t xml:space="preserve">Provide details of the charges made for consumables and additional services and itemised details of what these charges relate to:  </w:t>
      </w:r>
    </w:p>
    <w:tbl>
      <w:tblPr>
        <w:tblStyle w:val="TableGrid"/>
        <w:tblW w:w="10490" w:type="dxa"/>
        <w:tblInd w:w="-289" w:type="dxa"/>
        <w:tblLook w:val="04A0" w:firstRow="1" w:lastRow="0" w:firstColumn="1" w:lastColumn="0" w:noHBand="0" w:noVBand="1"/>
        <w:tblCaption w:val="Table"/>
        <w:tblDescription w:val="Table used for filling in responses"/>
      </w:tblPr>
      <w:tblGrid>
        <w:gridCol w:w="10490"/>
      </w:tblGrid>
      <w:tr w:rsidR="00485822" w14:paraId="7DFB9972" w14:textId="77777777" w:rsidTr="00485822">
        <w:trPr>
          <w:trHeight w:val="4599"/>
        </w:trPr>
        <w:tc>
          <w:tcPr>
            <w:tcW w:w="10490" w:type="dxa"/>
            <w:tcBorders>
              <w:top w:val="single" w:sz="4" w:space="0" w:color="auto"/>
              <w:left w:val="single" w:sz="4" w:space="0" w:color="auto"/>
              <w:bottom w:val="single" w:sz="4" w:space="0" w:color="auto"/>
              <w:right w:val="single" w:sz="4" w:space="0" w:color="auto"/>
            </w:tcBorders>
          </w:tcPr>
          <w:p w14:paraId="3CACB30F" w14:textId="77777777" w:rsidR="00485822" w:rsidRDefault="00485822">
            <w:pPr>
              <w:spacing w:line="288" w:lineRule="auto"/>
              <w:rPr>
                <w:rFonts w:ascii="Arial" w:eastAsia="Times New Roman" w:hAnsi="Arial" w:cs="Arial"/>
                <w:szCs w:val="24"/>
                <w:lang w:eastAsia="en-GB"/>
              </w:rPr>
            </w:pPr>
          </w:p>
          <w:p w14:paraId="485E1AAB" w14:textId="77777777" w:rsidR="00485822" w:rsidRDefault="00485822">
            <w:pPr>
              <w:spacing w:line="288" w:lineRule="auto"/>
              <w:rPr>
                <w:rFonts w:cs="Arial"/>
                <w:szCs w:val="24"/>
                <w:lang w:eastAsia="en-GB"/>
              </w:rPr>
            </w:pPr>
          </w:p>
          <w:p w14:paraId="5D31F241" w14:textId="77777777" w:rsidR="00485822" w:rsidRDefault="00485822">
            <w:pPr>
              <w:spacing w:line="288" w:lineRule="auto"/>
              <w:rPr>
                <w:rFonts w:cs="Arial"/>
                <w:szCs w:val="24"/>
                <w:lang w:eastAsia="en-GB"/>
              </w:rPr>
            </w:pPr>
          </w:p>
          <w:p w14:paraId="6027832D" w14:textId="77777777" w:rsidR="00485822" w:rsidRDefault="00485822">
            <w:pPr>
              <w:spacing w:line="288" w:lineRule="auto"/>
              <w:rPr>
                <w:rFonts w:cs="Arial"/>
                <w:szCs w:val="24"/>
                <w:lang w:eastAsia="en-GB"/>
              </w:rPr>
            </w:pPr>
          </w:p>
          <w:p w14:paraId="66E02DD6" w14:textId="77777777" w:rsidR="00485822" w:rsidRDefault="00485822">
            <w:pPr>
              <w:spacing w:line="288" w:lineRule="auto"/>
              <w:rPr>
                <w:rFonts w:cs="Arial"/>
                <w:szCs w:val="24"/>
                <w:lang w:eastAsia="en-GB"/>
              </w:rPr>
            </w:pPr>
          </w:p>
          <w:p w14:paraId="414B5870" w14:textId="77777777" w:rsidR="00485822" w:rsidRDefault="00485822">
            <w:pPr>
              <w:spacing w:line="288" w:lineRule="auto"/>
              <w:rPr>
                <w:rFonts w:cs="Arial"/>
                <w:szCs w:val="24"/>
                <w:lang w:eastAsia="en-GB"/>
              </w:rPr>
            </w:pPr>
          </w:p>
          <w:p w14:paraId="028C9789" w14:textId="77777777" w:rsidR="00485822" w:rsidRDefault="00485822">
            <w:pPr>
              <w:spacing w:line="288" w:lineRule="auto"/>
              <w:jc w:val="right"/>
              <w:rPr>
                <w:rFonts w:cs="Arial"/>
                <w:szCs w:val="24"/>
                <w:lang w:eastAsia="en-GB"/>
              </w:rPr>
            </w:pPr>
          </w:p>
          <w:p w14:paraId="669E03E3" w14:textId="77777777" w:rsidR="00485822" w:rsidRDefault="00485822">
            <w:pPr>
              <w:spacing w:line="288" w:lineRule="auto"/>
              <w:jc w:val="right"/>
              <w:rPr>
                <w:rFonts w:cs="Arial"/>
                <w:szCs w:val="24"/>
                <w:lang w:eastAsia="en-GB"/>
              </w:rPr>
            </w:pPr>
          </w:p>
          <w:p w14:paraId="5708003F" w14:textId="77777777" w:rsidR="00485822" w:rsidRDefault="00485822">
            <w:pPr>
              <w:spacing w:line="288" w:lineRule="auto"/>
              <w:jc w:val="right"/>
              <w:rPr>
                <w:rFonts w:cs="Arial"/>
                <w:szCs w:val="24"/>
                <w:lang w:eastAsia="en-GB"/>
              </w:rPr>
            </w:pPr>
          </w:p>
          <w:p w14:paraId="68FE4721" w14:textId="77777777" w:rsidR="00485822" w:rsidRDefault="00485822">
            <w:pPr>
              <w:spacing w:line="288" w:lineRule="auto"/>
              <w:jc w:val="right"/>
              <w:rPr>
                <w:rFonts w:cs="Arial"/>
                <w:szCs w:val="24"/>
                <w:lang w:eastAsia="en-GB"/>
              </w:rPr>
            </w:pPr>
          </w:p>
        </w:tc>
      </w:tr>
    </w:tbl>
    <w:p w14:paraId="3E84F793" w14:textId="0369BD34" w:rsidR="00485822" w:rsidRDefault="00485822" w:rsidP="00485822">
      <w:pPr>
        <w:spacing w:after="0" w:line="240" w:lineRule="auto"/>
        <w:rPr>
          <w:rFonts w:ascii="Arial" w:eastAsia="Times New Roman" w:hAnsi="Arial" w:cs="Arial"/>
          <w:b/>
          <w:color w:val="104F75"/>
          <w:kern w:val="0"/>
          <w:sz w:val="32"/>
          <w:szCs w:val="32"/>
          <w:lang w:eastAsia="en-GB"/>
          <w14:ligatures w14:val="none"/>
        </w:rPr>
      </w:pPr>
    </w:p>
    <w:p w14:paraId="587C9DA8" w14:textId="77777777" w:rsidR="00EF3543" w:rsidRDefault="00EF3543"/>
    <w:sectPr w:rsidR="00EF35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822"/>
    <w:rsid w:val="000C7E5B"/>
    <w:rsid w:val="00232DD3"/>
    <w:rsid w:val="00485822"/>
    <w:rsid w:val="006D19CC"/>
    <w:rsid w:val="00E34196"/>
    <w:rsid w:val="00EF3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0B2D"/>
  <w15:chartTrackingRefBased/>
  <w15:docId w15:val="{CD04BBBE-94D7-4C40-A9AD-C4F0CC412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822"/>
    <w:pPr>
      <w:spacing w:line="256" w:lineRule="auto"/>
    </w:pPr>
    <w:rPr>
      <w:rFonts w:ascii="Aptos" w:eastAsia="Aptos" w:hAnsi="Aptos" w:cs="Times New Roman"/>
    </w:rPr>
  </w:style>
  <w:style w:type="paragraph" w:styleId="Heading1">
    <w:name w:val="heading 1"/>
    <w:basedOn w:val="Normal"/>
    <w:next w:val="Normal"/>
    <w:link w:val="Heading1Char"/>
    <w:uiPriority w:val="9"/>
    <w:qFormat/>
    <w:rsid w:val="00485822"/>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822"/>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822"/>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822"/>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85822"/>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85822"/>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85822"/>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85822"/>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85822"/>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8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8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8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8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8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8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8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8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822"/>
    <w:rPr>
      <w:rFonts w:eastAsiaTheme="majorEastAsia" w:cstheme="majorBidi"/>
      <w:color w:val="272727" w:themeColor="text1" w:themeTint="D8"/>
    </w:rPr>
  </w:style>
  <w:style w:type="paragraph" w:styleId="Title">
    <w:name w:val="Title"/>
    <w:basedOn w:val="Normal"/>
    <w:next w:val="Normal"/>
    <w:link w:val="TitleChar"/>
    <w:uiPriority w:val="10"/>
    <w:qFormat/>
    <w:rsid w:val="004858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8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822"/>
    <w:pPr>
      <w:numPr>
        <w:ilvl w:val="1"/>
      </w:numPr>
      <w:spacing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8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822"/>
    <w:pPr>
      <w:spacing w:before="160" w:line="259" w:lineRule="auto"/>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485822"/>
    <w:rPr>
      <w:i/>
      <w:iCs/>
      <w:color w:val="404040" w:themeColor="text1" w:themeTint="BF"/>
    </w:rPr>
  </w:style>
  <w:style w:type="paragraph" w:styleId="ListParagraph">
    <w:name w:val="List Paragraph"/>
    <w:basedOn w:val="Normal"/>
    <w:uiPriority w:val="34"/>
    <w:qFormat/>
    <w:rsid w:val="00485822"/>
    <w:pPr>
      <w:spacing w:line="259" w:lineRule="auto"/>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485822"/>
    <w:rPr>
      <w:i/>
      <w:iCs/>
      <w:color w:val="0F4761" w:themeColor="accent1" w:themeShade="BF"/>
    </w:rPr>
  </w:style>
  <w:style w:type="paragraph" w:styleId="IntenseQuote">
    <w:name w:val="Intense Quote"/>
    <w:basedOn w:val="Normal"/>
    <w:next w:val="Normal"/>
    <w:link w:val="IntenseQuoteChar"/>
    <w:uiPriority w:val="30"/>
    <w:qFormat/>
    <w:rsid w:val="0048582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485822"/>
    <w:rPr>
      <w:i/>
      <w:iCs/>
      <w:color w:val="0F4761" w:themeColor="accent1" w:themeShade="BF"/>
    </w:rPr>
  </w:style>
  <w:style w:type="character" w:styleId="IntenseReference">
    <w:name w:val="Intense Reference"/>
    <w:basedOn w:val="DefaultParagraphFont"/>
    <w:uiPriority w:val="32"/>
    <w:qFormat/>
    <w:rsid w:val="00485822"/>
    <w:rPr>
      <w:b/>
      <w:bCs/>
      <w:smallCaps/>
      <w:color w:val="0F4761" w:themeColor="accent1" w:themeShade="BF"/>
      <w:spacing w:val="5"/>
    </w:rPr>
  </w:style>
  <w:style w:type="table" w:styleId="TableGrid">
    <w:name w:val="Table Grid"/>
    <w:basedOn w:val="TableNormal"/>
    <w:rsid w:val="00485822"/>
    <w:pPr>
      <w:spacing w:after="0" w:line="240" w:lineRule="auto"/>
    </w:pPr>
    <w:rPr>
      <w:rFonts w:ascii="Arial" w:eastAsia="Times New Roman" w:hAnsi="Arial"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13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Smith</dc:creator>
  <cp:keywords/>
  <dc:description/>
  <cp:lastModifiedBy>Jeannette Smith</cp:lastModifiedBy>
  <cp:revision>1</cp:revision>
  <dcterms:created xsi:type="dcterms:W3CDTF">2025-02-28T12:36:00Z</dcterms:created>
  <dcterms:modified xsi:type="dcterms:W3CDTF">2025-02-28T12:40:00Z</dcterms:modified>
</cp:coreProperties>
</file>